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501090</w:t>
      </w:r>
      <w:bookmarkStart w:id="8" w:name="_GoBack"/>
      <w:bookmarkEnd w:id="8"/>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2.2</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27E5AAC">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L3 measurement delay reduction by optimizing CSSF outside gap in CA/DC</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new WID on RRM enhancements was approved [1]. According to the WID, one of the objectives is FR2-1 SSB based L3 measurement delay reduction for connected mode, the details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7E3750B6">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FR2-1 SSB based L3 measurement delay reduction for connected mode</w:t>
            </w:r>
          </w:p>
          <w:p w14:paraId="73B07E94">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For UE supporting multiple-Rx simultaneous reception on single carrier: </w:t>
            </w:r>
          </w:p>
          <w:p w14:paraId="4D2132B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suitable scenarios and conditions and, if feasible, introduce methods to reduce FR2-1 L3 measurement delay by optimizing:</w:t>
            </w:r>
          </w:p>
          <w:p w14:paraId="23386619">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Rx beam sweeping factor </w:t>
            </w:r>
          </w:p>
          <w:p w14:paraId="2EC9CF81">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For UE not in multiple-Rx simultaneous reception mode:</w:t>
            </w:r>
          </w:p>
          <w:p w14:paraId="71B5EFE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Study suitable scenarios and conditions and, if feasible, introduce methods to reduce FR2-1 L3 measurement delay by optimizing:</w:t>
            </w:r>
          </w:p>
          <w:p w14:paraId="37632BC6">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CSSF outside gap in CA/DC scenarios </w:t>
            </w:r>
          </w:p>
          <w:p w14:paraId="0F7CF37F">
            <w:pPr>
              <w:keepNext w:val="0"/>
              <w:keepLines w:val="0"/>
              <w:pageBreakBefore w:val="0"/>
              <w:numPr>
                <w:ilvl w:val="0"/>
                <w:numId w:val="7"/>
              </w:numPr>
              <w:kinsoku/>
              <w:wordWrap/>
              <w:overflowPunct/>
              <w:topLinePunct w:val="0"/>
              <w:autoSpaceDE/>
              <w:autoSpaceDN/>
              <w:bidi w:val="0"/>
              <w:adjustRightInd/>
              <w:snapToGrid/>
              <w:spacing w:after="180" w:line="240" w:lineRule="auto"/>
              <w:ind w:left="210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Baseline assumption on number of searchers is 2</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is discussion on FR2-1 SSB based L3 measurement delay reduction for connected mode in last meeting,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L3 measurement delay reduction by optimizing CSSF outside gap in CA/DC</w:t>
      </w:r>
      <w:r>
        <w:rPr>
          <w:rFonts w:hint="eastAsia" w:ascii="Times New Roman" w:hAnsi="Times New Roman"/>
          <w:bCs/>
          <w:iCs/>
          <w:sz w:val="20"/>
          <w:szCs w:val="20"/>
        </w:rPr>
        <w:t>.</w:t>
      </w:r>
    </w:p>
    <w:p w14:paraId="33D32EDB">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48A2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18057B">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2-2: UE measurement procedure to use L3 measurement delay reduction by optimizing CSSF</w:t>
            </w:r>
          </w:p>
          <w:p w14:paraId="18363CC0">
            <w:pPr>
              <w:bidi w:val="0"/>
              <w:rPr>
                <w:rFonts w:hint="default"/>
                <w:lang w:val="en-US"/>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1EDAE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4D974428">
                  <w:pPr>
                    <w:overflowPunct w:val="0"/>
                    <w:autoSpaceDE w:val="0"/>
                    <w:autoSpaceDN w:val="0"/>
                    <w:adjustRightInd w:val="0"/>
                    <w:snapToGrid w:val="0"/>
                    <w:spacing w:after="0"/>
                    <w:textAlignment w:val="baseline"/>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Agreement in RAN#112 meeting:</w:t>
                  </w:r>
                </w:p>
                <w:p w14:paraId="3F1E91C4">
                  <w:pPr>
                    <w:numPr>
                      <w:ilvl w:val="1"/>
                      <w:numId w:val="8"/>
                    </w:numPr>
                    <w:overflowPunct w:val="0"/>
                    <w:autoSpaceDE w:val="0"/>
                    <w:autoSpaceDN w:val="0"/>
                    <w:adjustRightInd w:val="0"/>
                    <w:snapToGrid w:val="0"/>
                    <w:spacing w:after="0"/>
                    <w:ind w:left="1440"/>
                    <w:textAlignment w:val="baseline"/>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The following aspects in CA/DC to use L3 measurement delay reduction by optimizing CSSF shall be discussed, and further prioritization among the 3 aspects can be discussed in future meeting:</w:t>
                  </w:r>
                </w:p>
                <w:p w14:paraId="12CAE0E0">
                  <w:pPr>
                    <w:numPr>
                      <w:ilvl w:val="2"/>
                      <w:numId w:val="8"/>
                    </w:numPr>
                    <w:overflowPunct w:val="0"/>
                    <w:autoSpaceDE w:val="0"/>
                    <w:autoSpaceDN w:val="0"/>
                    <w:adjustRightInd w:val="0"/>
                    <w:snapToGrid w:val="0"/>
                    <w:spacing w:after="0"/>
                    <w:textAlignment w:val="baseline"/>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Aspect 1: SSB based Intra-frequency measurement without MG, including:</w:t>
                  </w:r>
                </w:p>
                <w:p w14:paraId="0C21AE98">
                  <w:pPr>
                    <w:numPr>
                      <w:ilvl w:val="3"/>
                      <w:numId w:val="8"/>
                    </w:numPr>
                    <w:overflowPunct w:val="0"/>
                    <w:autoSpaceDE w:val="0"/>
                    <w:autoSpaceDN w:val="0"/>
                    <w:adjustRightInd w:val="0"/>
                    <w:snapToGrid w:val="0"/>
                    <w:spacing w:after="0"/>
                    <w:textAlignment w:val="baseline"/>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T</w:t>
                  </w:r>
                  <w:r>
                    <w:rPr>
                      <w:rFonts w:hint="default" w:ascii="Times New Roman" w:hAnsi="Times New Roman" w:eastAsia="等线" w:cs="Times New Roman"/>
                      <w:kern w:val="2"/>
                      <w:sz w:val="20"/>
                      <w:szCs w:val="20"/>
                      <w:vertAlign w:val="subscript"/>
                    </w:rPr>
                    <w:t>PSS/SSS_sync_intra</w:t>
                  </w:r>
                  <w:r>
                    <w:rPr>
                      <w:rFonts w:hint="default" w:ascii="Times New Roman" w:hAnsi="Times New Roman" w:eastAsia="等线" w:cs="Times New Roman"/>
                      <w:kern w:val="2"/>
                      <w:sz w:val="20"/>
                      <w:szCs w:val="20"/>
                    </w:rPr>
                    <w:t xml:space="preserve"> and T</w:t>
                  </w:r>
                  <w:r>
                    <w:rPr>
                      <w:rFonts w:hint="default" w:ascii="Times New Roman" w:hAnsi="Times New Roman" w:eastAsia="等线" w:cs="Times New Roman"/>
                      <w:kern w:val="2"/>
                      <w:sz w:val="20"/>
                      <w:szCs w:val="20"/>
                      <w:vertAlign w:val="subscript"/>
                    </w:rPr>
                    <w:t>SSB_measurement_period_intra</w:t>
                  </w:r>
                </w:p>
                <w:p w14:paraId="0333C00F">
                  <w:pPr>
                    <w:numPr>
                      <w:ilvl w:val="3"/>
                      <w:numId w:val="8"/>
                    </w:numPr>
                    <w:overflowPunct w:val="0"/>
                    <w:autoSpaceDE w:val="0"/>
                    <w:autoSpaceDN w:val="0"/>
                    <w:adjustRightInd w:val="0"/>
                    <w:snapToGrid w:val="0"/>
                    <w:spacing w:after="0"/>
                    <w:textAlignment w:val="baseline"/>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CSSF</w:t>
                  </w:r>
                  <w:r>
                    <w:rPr>
                      <w:rFonts w:hint="default" w:ascii="Times New Roman" w:hAnsi="Times New Roman" w:eastAsia="等线" w:cs="Times New Roman"/>
                      <w:kern w:val="2"/>
                      <w:sz w:val="20"/>
                      <w:szCs w:val="20"/>
                      <w:vertAlign w:val="subscript"/>
                    </w:rPr>
                    <w:t>intra</w:t>
                  </w:r>
                  <w:r>
                    <w:rPr>
                      <w:rFonts w:hint="default" w:ascii="Times New Roman" w:hAnsi="Times New Roman" w:eastAsia="等线" w:cs="Times New Roman"/>
                      <w:kern w:val="2"/>
                      <w:sz w:val="20"/>
                      <w:szCs w:val="20"/>
                    </w:rPr>
                    <w:t xml:space="preserve"> for intra-frequency measurement without gap which is defined since Rel-15</w:t>
                  </w:r>
                </w:p>
                <w:p w14:paraId="735BB3D2">
                  <w:pPr>
                    <w:numPr>
                      <w:ilvl w:val="2"/>
                      <w:numId w:val="8"/>
                    </w:numPr>
                    <w:overflowPunct w:val="0"/>
                    <w:autoSpaceDE w:val="0"/>
                    <w:autoSpaceDN w:val="0"/>
                    <w:adjustRightInd w:val="0"/>
                    <w:snapToGrid w:val="0"/>
                    <w:spacing w:after="0"/>
                    <w:textAlignment w:val="baseline"/>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 xml:space="preserve">Aspect 2: SSB based Inter-frequency measurement without MG, including: </w:t>
                  </w:r>
                </w:p>
                <w:p w14:paraId="200E7E39">
                  <w:pPr>
                    <w:numPr>
                      <w:ilvl w:val="3"/>
                      <w:numId w:val="8"/>
                    </w:numPr>
                    <w:overflowPunct w:val="0"/>
                    <w:autoSpaceDE w:val="0"/>
                    <w:autoSpaceDN w:val="0"/>
                    <w:adjustRightInd w:val="0"/>
                    <w:snapToGrid w:val="0"/>
                    <w:spacing w:after="0"/>
                    <w:textAlignment w:val="baseline"/>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T</w:t>
                  </w:r>
                  <w:r>
                    <w:rPr>
                      <w:rFonts w:hint="default" w:ascii="Times New Roman" w:hAnsi="Times New Roman" w:eastAsia="等线" w:cs="Times New Roman"/>
                      <w:kern w:val="2"/>
                      <w:sz w:val="20"/>
                      <w:szCs w:val="20"/>
                      <w:vertAlign w:val="subscript"/>
                    </w:rPr>
                    <w:t>PSS/SSS_sync_inter</w:t>
                  </w:r>
                  <w:r>
                    <w:rPr>
                      <w:rFonts w:hint="default" w:ascii="Times New Roman" w:hAnsi="Times New Roman" w:eastAsia="等线" w:cs="Times New Roman"/>
                      <w:kern w:val="2"/>
                      <w:sz w:val="20"/>
                      <w:szCs w:val="20"/>
                    </w:rPr>
                    <w:t>, T</w:t>
                  </w:r>
                  <w:r>
                    <w:rPr>
                      <w:rFonts w:hint="default" w:ascii="Times New Roman" w:hAnsi="Times New Roman" w:eastAsia="等线" w:cs="Times New Roman"/>
                      <w:kern w:val="2"/>
                      <w:sz w:val="20"/>
                      <w:szCs w:val="20"/>
                      <w:vertAlign w:val="subscript"/>
                    </w:rPr>
                    <w:t>SSB_time_index_inter</w:t>
                  </w:r>
                  <w:r>
                    <w:rPr>
                      <w:rFonts w:hint="default" w:ascii="Times New Roman" w:hAnsi="Times New Roman" w:eastAsia="等线" w:cs="Times New Roman"/>
                      <w:kern w:val="2"/>
                      <w:sz w:val="20"/>
                      <w:szCs w:val="20"/>
                    </w:rPr>
                    <w:t xml:space="preserve"> and T</w:t>
                  </w:r>
                  <w:r>
                    <w:rPr>
                      <w:rFonts w:hint="default" w:ascii="Times New Roman" w:hAnsi="Times New Roman" w:eastAsia="等线" w:cs="Times New Roman"/>
                      <w:kern w:val="2"/>
                      <w:sz w:val="20"/>
                      <w:szCs w:val="20"/>
                      <w:vertAlign w:val="subscript"/>
                    </w:rPr>
                    <w:t>SSB_measurement_period_inter</w:t>
                  </w:r>
                </w:p>
                <w:p w14:paraId="670D0FB8">
                  <w:pPr>
                    <w:numPr>
                      <w:ilvl w:val="3"/>
                      <w:numId w:val="8"/>
                    </w:numPr>
                    <w:overflowPunct w:val="0"/>
                    <w:autoSpaceDE w:val="0"/>
                    <w:autoSpaceDN w:val="0"/>
                    <w:adjustRightInd w:val="0"/>
                    <w:snapToGrid w:val="0"/>
                    <w:spacing w:after="0"/>
                    <w:textAlignment w:val="baseline"/>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CSSF</w:t>
                  </w:r>
                  <w:r>
                    <w:rPr>
                      <w:rFonts w:hint="default" w:ascii="Times New Roman" w:hAnsi="Times New Roman" w:eastAsia="等线" w:cs="Times New Roman"/>
                      <w:kern w:val="2"/>
                      <w:sz w:val="20"/>
                      <w:szCs w:val="20"/>
                      <w:vertAlign w:val="subscript"/>
                    </w:rPr>
                    <w:t>inter</w:t>
                  </w:r>
                  <w:r>
                    <w:rPr>
                      <w:rFonts w:hint="default" w:ascii="Times New Roman" w:hAnsi="Times New Roman" w:eastAsia="等线" w:cs="Times New Roman"/>
                      <w:kern w:val="2"/>
                      <w:sz w:val="20"/>
                      <w:szCs w:val="20"/>
                    </w:rPr>
                    <w:t xml:space="preserve"> for inter-frequency measurement without gap.</w:t>
                  </w:r>
                </w:p>
                <w:p w14:paraId="7B20FCD4">
                  <w:pPr>
                    <w:numPr>
                      <w:ilvl w:val="2"/>
                      <w:numId w:val="8"/>
                    </w:numPr>
                    <w:overflowPunct w:val="0"/>
                    <w:autoSpaceDE w:val="0"/>
                    <w:autoSpaceDN w:val="0"/>
                    <w:adjustRightInd w:val="0"/>
                    <w:snapToGrid w:val="0"/>
                    <w:spacing w:after="0"/>
                    <w:textAlignment w:val="baseline"/>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 xml:space="preserve">Aspect 3: Inter-RAT SSB measurement without MG, including: </w:t>
                  </w:r>
                </w:p>
                <w:p w14:paraId="3B903BF0">
                  <w:pPr>
                    <w:numPr>
                      <w:ilvl w:val="3"/>
                      <w:numId w:val="8"/>
                    </w:numPr>
                    <w:overflowPunct w:val="0"/>
                    <w:autoSpaceDE w:val="0"/>
                    <w:autoSpaceDN w:val="0"/>
                    <w:adjustRightInd w:val="0"/>
                    <w:snapToGrid w:val="0"/>
                    <w:spacing w:after="0"/>
                    <w:textAlignment w:val="baseline"/>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CSSF</w:t>
                  </w:r>
                  <w:r>
                    <w:rPr>
                      <w:rFonts w:hint="default" w:ascii="Times New Roman" w:hAnsi="Times New Roman" w:eastAsia="等线" w:cs="Times New Roman"/>
                      <w:kern w:val="2"/>
                      <w:sz w:val="20"/>
                      <w:szCs w:val="20"/>
                      <w:vertAlign w:val="subscript"/>
                    </w:rPr>
                    <w:t>interRAT</w:t>
                  </w:r>
                  <w:r>
                    <w:rPr>
                      <w:rFonts w:hint="default" w:ascii="Times New Roman" w:hAnsi="Times New Roman" w:eastAsia="等线" w:cs="Times New Roman"/>
                      <w:kern w:val="2"/>
                      <w:sz w:val="20"/>
                      <w:szCs w:val="20"/>
                    </w:rPr>
                    <w:t xml:space="preserve"> for inter-RAT measurement without gap if the UE indicates ‘nogap-noncsg’ via NeedForGapNCSG-InfoEUTRA for the inter-RAT measurement.</w:t>
                  </w:r>
                </w:p>
                <w:p w14:paraId="275847D2">
                  <w:pPr>
                    <w:numPr>
                      <w:ilvl w:val="2"/>
                      <w:numId w:val="8"/>
                    </w:numPr>
                    <w:overflowPunct w:val="0"/>
                    <w:autoSpaceDE w:val="0"/>
                    <w:autoSpaceDN w:val="0"/>
                    <w:adjustRightInd w:val="0"/>
                    <w:snapToGrid w:val="0"/>
                    <w:spacing w:after="0"/>
                    <w:textAlignment w:val="baseline"/>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MG related features to be considered in aspect 1/2/3 including:</w:t>
                  </w:r>
                </w:p>
                <w:p w14:paraId="00C810C5">
                  <w:pPr>
                    <w:numPr>
                      <w:ilvl w:val="3"/>
                      <w:numId w:val="8"/>
                    </w:numPr>
                    <w:overflowPunct w:val="0"/>
                    <w:autoSpaceDE w:val="0"/>
                    <w:autoSpaceDN w:val="0"/>
                    <w:adjustRightInd w:val="0"/>
                    <w:snapToGrid w:val="0"/>
                    <w:spacing w:after="0"/>
                    <w:textAlignment w:val="baseline"/>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R16 Inter-frequency measurement without gap where SSB is completely contained in active BWP</w:t>
                  </w:r>
                </w:p>
                <w:p w14:paraId="16380200">
                  <w:pPr>
                    <w:numPr>
                      <w:ilvl w:val="3"/>
                      <w:numId w:val="8"/>
                    </w:numPr>
                    <w:overflowPunct w:val="0"/>
                    <w:autoSpaceDE w:val="0"/>
                    <w:autoSpaceDN w:val="0"/>
                    <w:adjustRightInd w:val="0"/>
                    <w:snapToGrid w:val="0"/>
                    <w:spacing w:after="0"/>
                    <w:textAlignment w:val="baseline"/>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R17 NCSG measurement with ‘nogap-noncsg’</w:t>
                  </w:r>
                </w:p>
                <w:p w14:paraId="7DB188D3">
                  <w:pPr>
                    <w:numPr>
                      <w:ilvl w:val="3"/>
                      <w:numId w:val="8"/>
                    </w:numPr>
                    <w:overflowPunct w:val="0"/>
                    <w:autoSpaceDE w:val="0"/>
                    <w:autoSpaceDN w:val="0"/>
                    <w:adjustRightInd w:val="0"/>
                    <w:snapToGrid w:val="0"/>
                    <w:spacing w:after="0"/>
                    <w:textAlignment w:val="baseline"/>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R18 NeedForGaps measurement with ‘no-gap-no-interruption’ or with “no-gap-with-interruption”</w:t>
                  </w:r>
                </w:p>
              </w:tc>
            </w:tr>
          </w:tbl>
          <w:p w14:paraId="501ACA04">
            <w:pPr>
              <w:rPr>
                <w:rFonts w:hint="default" w:ascii="Times New Roman" w:hAnsi="Times New Roman" w:cs="Times New Roman"/>
                <w:sz w:val="20"/>
                <w:szCs w:val="20"/>
              </w:rPr>
            </w:pPr>
          </w:p>
          <w:p w14:paraId="2EC4D704">
            <w:pPr>
              <w:rPr>
                <w:rFonts w:hint="default" w:ascii="Times New Roman" w:hAnsi="Times New Roman" w:cs="Times New Roman"/>
                <w:sz w:val="20"/>
                <w:szCs w:val="20"/>
              </w:rPr>
            </w:pPr>
          </w:p>
          <w:p w14:paraId="3CA69184">
            <w:pPr>
              <w:pStyle w:val="10"/>
              <w:numPr>
                <w:ilvl w:val="0"/>
                <w:numId w:val="8"/>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 : The enhanced CSSF apply to all the 3 aspects and do not define the priority.</w:t>
            </w:r>
          </w:p>
          <w:p w14:paraId="6220E73E">
            <w:pPr>
              <w:pStyle w:val="10"/>
              <w:numPr>
                <w:ilvl w:val="0"/>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 : the following aspect to use L3 measurement delay reduction by optimizing CSSF shall be prioritized:</w:t>
            </w:r>
          </w:p>
          <w:p w14:paraId="235432BB">
            <w:pPr>
              <w:pStyle w:val="10"/>
              <w:numPr>
                <w:ilvl w:val="1"/>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Aspect 1: SSB based Intra-frequency measurement without MG, including:</w:t>
            </w:r>
          </w:p>
          <w:p w14:paraId="702AF76A">
            <w:pPr>
              <w:pStyle w:val="10"/>
              <w:numPr>
                <w:ilvl w:val="2"/>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PSS/SSS_sync_intra</w:t>
            </w:r>
            <w:r>
              <w:rPr>
                <w:rFonts w:hint="default" w:ascii="Times New Roman" w:hAnsi="Times New Roman" w:eastAsia="宋体" w:cs="Times New Roman"/>
                <w:sz w:val="20"/>
                <w:szCs w:val="20"/>
              </w:rPr>
              <w:t xml:space="preserve"> and T</w:t>
            </w:r>
            <w:r>
              <w:rPr>
                <w:rFonts w:hint="default" w:ascii="Times New Roman" w:hAnsi="Times New Roman" w:eastAsia="宋体" w:cs="Times New Roman"/>
                <w:sz w:val="20"/>
                <w:szCs w:val="20"/>
                <w:vertAlign w:val="subscript"/>
              </w:rPr>
              <w:t>SSB_measurement_period_intra</w:t>
            </w:r>
          </w:p>
          <w:p w14:paraId="3B628249">
            <w:pPr>
              <w:pStyle w:val="10"/>
              <w:numPr>
                <w:ilvl w:val="2"/>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CSSFintra for intra-frequency measurement without gap which is defined since Rel-15</w:t>
            </w:r>
          </w:p>
          <w:p w14:paraId="040BF630">
            <w:pPr>
              <w:pStyle w:val="10"/>
              <w:numPr>
                <w:ilvl w:val="1"/>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2a(ZTE): To be more concentrated, prioritize the intra-frequency measurement without gap could make the discussion more efficient. But when re-design the CSSF factor, both inter-frequency and inter-RAT measurement without gap should also be considered.</w:t>
            </w:r>
          </w:p>
          <w:p w14:paraId="70E7B489">
            <w:pPr>
              <w:pStyle w:val="10"/>
              <w:numPr>
                <w:ilvl w:val="0"/>
                <w:numId w:val="8"/>
              </w:numPr>
              <w:spacing w:after="120"/>
              <w:ind w:firstLineChars="0"/>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rPr>
              <w:t>Option 3 : To start from SSB-based intra-frequency and inter-frequency measurements without MG(aspect 1 and 2) to simplify the CSSF optimization discussion.</w:t>
            </w:r>
          </w:p>
        </w:tc>
      </w:tr>
    </w:tbl>
    <w:p w14:paraId="0EF835D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772A835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kern w:val="2"/>
          <w:sz w:val="20"/>
          <w:szCs w:val="20"/>
          <w:lang w:val="en-US" w:eastAsia="zh-CN"/>
        </w:rPr>
      </w:pPr>
      <w:r>
        <w:rPr>
          <w:rFonts w:hint="eastAsia" w:ascii="Times New Roman" w:hAnsi="Times New Roman" w:cs="Times New Roman"/>
          <w:sz w:val="20"/>
          <w:szCs w:val="20"/>
          <w:lang w:val="en-US" w:eastAsia="zh-CN"/>
        </w:rPr>
        <w:t>We do not think priorization among SSB based i</w:t>
      </w:r>
      <w:r>
        <w:rPr>
          <w:rFonts w:hint="default" w:ascii="Times New Roman" w:hAnsi="Times New Roman" w:eastAsia="等线" w:cs="Times New Roman"/>
          <w:kern w:val="2"/>
          <w:sz w:val="20"/>
          <w:szCs w:val="20"/>
        </w:rPr>
        <w:t>ntra-frequency measurement</w:t>
      </w:r>
      <w:r>
        <w:rPr>
          <w:rFonts w:hint="eastAsia" w:ascii="Times New Roman" w:hAnsi="Times New Roman" w:eastAsia="等线" w:cs="Times New Roman"/>
          <w:kern w:val="2"/>
          <w:sz w:val="20"/>
          <w:szCs w:val="20"/>
          <w:lang w:val="en-US" w:eastAsia="zh-CN"/>
        </w:rPr>
        <w:t>, i</w:t>
      </w:r>
      <w:r>
        <w:rPr>
          <w:rFonts w:hint="default" w:ascii="Times New Roman" w:hAnsi="Times New Roman" w:eastAsia="等线" w:cs="Times New Roman"/>
          <w:kern w:val="2"/>
          <w:sz w:val="20"/>
          <w:szCs w:val="20"/>
        </w:rPr>
        <w:t>nt</w:t>
      </w:r>
      <w:r>
        <w:rPr>
          <w:rFonts w:hint="eastAsia" w:ascii="Times New Roman" w:hAnsi="Times New Roman" w:eastAsia="等线" w:cs="Times New Roman"/>
          <w:kern w:val="2"/>
          <w:sz w:val="20"/>
          <w:szCs w:val="20"/>
          <w:lang w:val="en-US" w:eastAsia="zh-CN"/>
        </w:rPr>
        <w:t>er</w:t>
      </w:r>
      <w:r>
        <w:rPr>
          <w:rFonts w:hint="default" w:ascii="Times New Roman" w:hAnsi="Times New Roman" w:eastAsia="等线" w:cs="Times New Roman"/>
          <w:kern w:val="2"/>
          <w:sz w:val="20"/>
          <w:szCs w:val="20"/>
        </w:rPr>
        <w:t>-frequency measurement</w:t>
      </w:r>
      <w:r>
        <w:rPr>
          <w:rFonts w:hint="eastAsia" w:ascii="Times New Roman" w:hAnsi="Times New Roman" w:eastAsia="等线" w:cs="Times New Roman"/>
          <w:kern w:val="2"/>
          <w:sz w:val="20"/>
          <w:szCs w:val="20"/>
          <w:lang w:val="en-US" w:eastAsia="zh-CN"/>
        </w:rPr>
        <w:t xml:space="preserve"> and i</w:t>
      </w:r>
      <w:r>
        <w:rPr>
          <w:rFonts w:hint="default" w:ascii="Times New Roman" w:hAnsi="Times New Roman" w:eastAsia="等线" w:cs="Times New Roman"/>
          <w:kern w:val="2"/>
          <w:sz w:val="20"/>
          <w:szCs w:val="20"/>
        </w:rPr>
        <w:t>nter-RAT measurement</w:t>
      </w:r>
      <w:r>
        <w:rPr>
          <w:rFonts w:hint="eastAsia" w:ascii="Times New Roman" w:hAnsi="Times New Roman" w:eastAsia="等线" w:cs="Times New Roman"/>
          <w:kern w:val="2"/>
          <w:sz w:val="20"/>
          <w:szCs w:val="20"/>
          <w:lang w:val="en-US" w:eastAsia="zh-CN"/>
        </w:rPr>
        <w:t xml:space="preserve"> is a feasible way to go for the discussion on L3 measurement delay reduction by optimizing CSSF. If we look at the CSSF table for the case of measurement without gap, all these three aspects are in the same table. And the CSSF is calculated taking all these three scenarios into account. If one of these three aspects are prioritized (e.g. intra-frequency is prioritized to discuss the reduction solution), the CSSF enhancement can be applied when only the target MOs are configured (e.g. the CSSF enhancement can only be applied to the case that there is only intra-frequency MO(s) ). However, from mobility point of view, it is very common case that network not only configure intra-frequency MO, but also to configure inter-frquency MO and LTE inter-RAT MO. Based on above consideration, it is proposed that enhanced CSSF apply to all the 3 aspects and do not define the priority.</w:t>
      </w:r>
    </w:p>
    <w:p w14:paraId="6359EFA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i/>
          <w:iCs/>
          <w:kern w:val="2"/>
          <w:sz w:val="20"/>
          <w:szCs w:val="20"/>
          <w:lang w:val="en-US" w:eastAsia="zh-CN"/>
        </w:rPr>
      </w:pPr>
      <w:r>
        <w:rPr>
          <w:rFonts w:hint="eastAsia" w:ascii="Times New Roman" w:hAnsi="Times New Roman" w:eastAsia="等线" w:cs="Times New Roman"/>
          <w:b/>
          <w:bCs/>
          <w:i/>
          <w:iCs/>
          <w:kern w:val="2"/>
          <w:sz w:val="20"/>
          <w:szCs w:val="20"/>
          <w:lang w:val="en-US" w:eastAsia="zh-CN"/>
        </w:rPr>
        <w:t>Proposal 1: it is proposed that enhanced CSSF apply to all the 3 aspects and do not define the priority.</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F2FA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0E1D978">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2-3: Applicability requirement of L3 measurement delay reduction by optimizing CSSF</w:t>
            </w:r>
          </w:p>
          <w:p w14:paraId="5360AD81">
            <w:pPr>
              <w:rPr>
                <w:rFonts w:hint="default" w:ascii="Times New Roman" w:hAnsi="Times New Roman" w:cs="Times New Roman"/>
                <w:i/>
                <w:color w:val="0070C0"/>
                <w:sz w:val="20"/>
                <w:szCs w:val="20"/>
              </w:rPr>
            </w:pPr>
          </w:p>
          <w:p w14:paraId="3EED10B2">
            <w:pPr>
              <w:pStyle w:val="10"/>
              <w:numPr>
                <w:ilvl w:val="0"/>
                <w:numId w:val="8"/>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 (Nokia): To focus the discussion on the CSSF optimization solutions in SA scenarios. The same principle can be applied to update CSSF tables in other scenarios afterwards.</w:t>
            </w:r>
          </w:p>
          <w:p w14:paraId="5B485235">
            <w:pPr>
              <w:pStyle w:val="10"/>
              <w:numPr>
                <w:ilvl w:val="0"/>
                <w:numId w:val="8"/>
              </w:numPr>
              <w:overflowPunct/>
              <w:autoSpaceDE/>
              <w:autoSpaceDN/>
              <w:adjustRightInd/>
              <w:spacing w:after="120"/>
              <w:ind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rPr>
              <w:t>Option 2 (Ericsson): We suggest covering SA, EN-DC and NE-DC in the scope without deprioritization any of them.</w:t>
            </w:r>
          </w:p>
        </w:tc>
      </w:tr>
    </w:tbl>
    <w:p w14:paraId="1AEF075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290782D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According to the WID, the objective is to introduce methods to reduce FR2-1 L3 measurement delay by optimizing CSSF outside gap in CA/DC scenarios, it doesn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t preclude the CA or DC case. What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more, in the current specification, the definition of CSSF</w:t>
      </w:r>
      <w:r>
        <w:rPr>
          <w:rFonts w:hint="eastAsia" w:ascii="Times New Roman" w:hAnsi="Times New Roman"/>
          <w:sz w:val="20"/>
          <w:szCs w:val="20"/>
          <w:vertAlign w:val="subscript"/>
          <w:lang w:val="en-US" w:eastAsia="zh-CN"/>
        </w:rPr>
        <w:t>outside_gap,i</w:t>
      </w:r>
      <w:r>
        <w:rPr>
          <w:rFonts w:hint="eastAsia" w:ascii="Times New Roman" w:hAnsi="Times New Roman"/>
          <w:sz w:val="20"/>
          <w:szCs w:val="20"/>
          <w:lang w:val="en-US" w:eastAsia="zh-CN"/>
        </w:rPr>
        <w:t xml:space="preserve"> is for EN-DC/SA/NR-DC/NE-DC containing intra-band CA and inter-band CA, and the related band combination can be FR2/FR1 only, FR1+FR2 (FR1 PCell or FR2 PCell).  We do not see issue to follow the legacy applicability.</w:t>
      </w:r>
    </w:p>
    <w:p w14:paraId="0183636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And according to the previous agreements [4], as duplicated as following, RAN4 already agreed to consider SA, NR-DC, NE-DC, EN-DC for L3 measurement delay reduction by optimizing CSSF, and final applicability of solutions can be FFS.</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DA8C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793E3A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RAN4 agreements in RAN4#112 (R4-2414026)</w:t>
            </w:r>
          </w:p>
          <w:p w14:paraId="3AE0F052">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2-3: Applicability requirement of L3 measurement delay reduction by optimizing CSSF</w:t>
            </w:r>
          </w:p>
          <w:p w14:paraId="00101AEF">
            <w:pPr>
              <w:spacing w:after="120"/>
              <w:ind w:left="108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2C1F1EFE">
            <w:pPr>
              <w:pStyle w:val="10"/>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lang w:eastAsia="en-GB"/>
              </w:rPr>
              <w:t>RAN4 to consider following CA/DC mode for L3 measurement delay reduction by optimizing CSSF</w:t>
            </w:r>
            <w:r>
              <w:rPr>
                <w:rFonts w:hint="default" w:ascii="Times New Roman" w:hAnsi="Times New Roman" w:eastAsia="宋体" w:cs="Times New Roman"/>
                <w:sz w:val="20"/>
                <w:szCs w:val="20"/>
                <w:highlight w:val="green"/>
                <w:vertAlign w:val="subscript"/>
                <w:lang w:eastAsia="en-GB"/>
              </w:rPr>
              <w:t>outside_gap,</w:t>
            </w:r>
            <w:r>
              <w:rPr>
                <w:rFonts w:hint="default" w:ascii="Times New Roman" w:hAnsi="Times New Roman" w:eastAsia="宋体" w:cs="Times New Roman"/>
                <w:sz w:val="20"/>
                <w:szCs w:val="20"/>
                <w:highlight w:val="green"/>
                <w:vertAlign w:val="subscript"/>
              </w:rPr>
              <w:t>i</w:t>
            </w:r>
          </w:p>
          <w:p w14:paraId="31216BE6">
            <w:pPr>
              <w:pStyle w:val="10"/>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Final applicability of the solutions can be FFS</w:t>
            </w:r>
          </w:p>
          <w:p w14:paraId="40F4CAF1">
            <w:pPr>
              <w:pStyle w:val="10"/>
              <w:numPr>
                <w:ilvl w:val="3"/>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lang w:eastAsia="en-GB"/>
              </w:rPr>
              <w:t xml:space="preserve">EN-DC </w:t>
            </w:r>
          </w:p>
          <w:p w14:paraId="0A1A6322">
            <w:pPr>
              <w:pStyle w:val="10"/>
              <w:numPr>
                <w:ilvl w:val="4"/>
                <w:numId w:val="8"/>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EN-DC with FR2 only intra band CA </w:t>
            </w:r>
          </w:p>
          <w:p w14:paraId="3159D230">
            <w:pPr>
              <w:pStyle w:val="10"/>
              <w:numPr>
                <w:ilvl w:val="4"/>
                <w:numId w:val="8"/>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EN-DC with FR2 only inter band CA </w:t>
            </w:r>
          </w:p>
          <w:p w14:paraId="5DE1562D">
            <w:pPr>
              <w:pStyle w:val="10"/>
              <w:numPr>
                <w:ilvl w:val="4"/>
                <w:numId w:val="8"/>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EN-DC with FR1 +FR2 CA (FR1 PSCell) </w:t>
            </w:r>
          </w:p>
          <w:p w14:paraId="28B3D4EA">
            <w:pPr>
              <w:pStyle w:val="10"/>
              <w:numPr>
                <w:ilvl w:val="4"/>
                <w:numId w:val="8"/>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EN-DC with FR1 +FR2 CA (FR2 PSCell) </w:t>
            </w:r>
          </w:p>
          <w:p w14:paraId="15FBE350">
            <w:pPr>
              <w:pStyle w:val="10"/>
              <w:numPr>
                <w:ilvl w:val="3"/>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lang w:eastAsia="en-GB"/>
              </w:rPr>
              <w:t>NE-DC</w:t>
            </w:r>
          </w:p>
          <w:p w14:paraId="7B4C206B">
            <w:pPr>
              <w:pStyle w:val="10"/>
              <w:numPr>
                <w:ilvl w:val="4"/>
                <w:numId w:val="8"/>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NE-DC with FR2 only intra band CA </w:t>
            </w:r>
          </w:p>
          <w:p w14:paraId="32849717">
            <w:pPr>
              <w:pStyle w:val="10"/>
              <w:numPr>
                <w:ilvl w:val="4"/>
                <w:numId w:val="8"/>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NE-DC with FR2 only inter band CA</w:t>
            </w:r>
          </w:p>
          <w:p w14:paraId="23A52EB0">
            <w:pPr>
              <w:pStyle w:val="10"/>
              <w:numPr>
                <w:ilvl w:val="4"/>
                <w:numId w:val="8"/>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NE-DC with FR1 +FR2 CA (FR1 PCell) </w:t>
            </w:r>
          </w:p>
          <w:p w14:paraId="12FCEDE8">
            <w:pPr>
              <w:pStyle w:val="10"/>
              <w:numPr>
                <w:ilvl w:val="3"/>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lang w:eastAsia="en-GB"/>
              </w:rPr>
              <w:t xml:space="preserve">SA </w:t>
            </w:r>
          </w:p>
          <w:p w14:paraId="0C3F9A34">
            <w:pPr>
              <w:pStyle w:val="10"/>
              <w:numPr>
                <w:ilvl w:val="4"/>
                <w:numId w:val="8"/>
              </w:numPr>
              <w:spacing w:after="120"/>
              <w:ind w:firstLineChars="0"/>
              <w:rPr>
                <w:rFonts w:hint="default" w:ascii="Times New Roman" w:hAnsi="Times New Roman" w:eastAsia="宋体" w:cs="Times New Roman"/>
                <w:sz w:val="20"/>
                <w:szCs w:val="20"/>
                <w:highlight w:val="green"/>
                <w:lang w:eastAsia="en-GB"/>
              </w:rPr>
            </w:pPr>
            <w:r>
              <w:rPr>
                <w:rFonts w:hint="default" w:ascii="Times New Roman" w:hAnsi="Times New Roman" w:eastAsia="宋体" w:cs="Times New Roman"/>
                <w:sz w:val="20"/>
                <w:szCs w:val="20"/>
                <w:highlight w:val="green"/>
                <w:lang w:eastAsia="en-GB"/>
              </w:rPr>
              <w:t xml:space="preserve">FR1+FR2 CA (FR1 PCell) </w:t>
            </w:r>
          </w:p>
          <w:p w14:paraId="7F0B63DA">
            <w:pPr>
              <w:pStyle w:val="10"/>
              <w:numPr>
                <w:ilvl w:val="4"/>
                <w:numId w:val="8"/>
              </w:numPr>
              <w:spacing w:after="120"/>
              <w:ind w:firstLineChars="0"/>
              <w:rPr>
                <w:rFonts w:hint="default" w:ascii="Times New Roman" w:hAnsi="Times New Roman" w:eastAsia="宋体" w:cs="Times New Roman"/>
                <w:sz w:val="20"/>
                <w:szCs w:val="20"/>
                <w:highlight w:val="green"/>
                <w:lang w:eastAsia="en-GB"/>
              </w:rPr>
            </w:pPr>
            <w:r>
              <w:rPr>
                <w:rFonts w:hint="default" w:ascii="Times New Roman" w:hAnsi="Times New Roman" w:eastAsia="宋体" w:cs="Times New Roman"/>
                <w:sz w:val="20"/>
                <w:szCs w:val="20"/>
                <w:highlight w:val="green"/>
                <w:lang w:eastAsia="en-GB"/>
              </w:rPr>
              <w:t>FR1+FR2 CA (FR2 PCell)</w:t>
            </w:r>
            <w:r>
              <w:rPr>
                <w:rFonts w:hint="default" w:ascii="Times New Roman" w:hAnsi="Times New Roman" w:eastAsia="宋体" w:cs="Times New Roman"/>
                <w:sz w:val="20"/>
                <w:szCs w:val="20"/>
                <w:highlight w:val="green"/>
              </w:rPr>
              <w:t xml:space="preserve"> </w:t>
            </w:r>
          </w:p>
          <w:p w14:paraId="73028D6A">
            <w:pPr>
              <w:pStyle w:val="10"/>
              <w:numPr>
                <w:ilvl w:val="4"/>
                <w:numId w:val="8"/>
              </w:numPr>
              <w:spacing w:after="120"/>
              <w:ind w:firstLineChars="0"/>
              <w:rPr>
                <w:rFonts w:hint="default" w:ascii="Times New Roman" w:hAnsi="Times New Roman" w:eastAsia="宋体" w:cs="Times New Roman"/>
                <w:sz w:val="20"/>
                <w:szCs w:val="20"/>
                <w:highlight w:val="green"/>
                <w:lang w:eastAsia="en-GB"/>
              </w:rPr>
            </w:pPr>
            <w:r>
              <w:rPr>
                <w:rFonts w:hint="default" w:ascii="Times New Roman" w:hAnsi="Times New Roman" w:eastAsia="宋体" w:cs="Times New Roman"/>
                <w:sz w:val="20"/>
                <w:szCs w:val="20"/>
                <w:highlight w:val="green"/>
                <w:lang w:eastAsia="en-GB"/>
              </w:rPr>
              <w:t>FR2 only intra-band CA</w:t>
            </w:r>
          </w:p>
          <w:p w14:paraId="43F81903">
            <w:pPr>
              <w:pStyle w:val="10"/>
              <w:numPr>
                <w:ilvl w:val="4"/>
                <w:numId w:val="8"/>
              </w:numPr>
              <w:spacing w:after="120"/>
              <w:ind w:firstLineChars="0"/>
              <w:rPr>
                <w:rFonts w:hint="default" w:ascii="Times New Roman" w:hAnsi="Times New Roman" w:eastAsia="宋体" w:cs="Times New Roman"/>
                <w:sz w:val="20"/>
                <w:szCs w:val="20"/>
                <w:highlight w:val="green"/>
                <w:lang w:eastAsia="en-GB"/>
              </w:rPr>
            </w:pPr>
            <w:r>
              <w:rPr>
                <w:rFonts w:hint="default" w:ascii="Times New Roman" w:hAnsi="Times New Roman" w:eastAsia="宋体" w:cs="Times New Roman"/>
                <w:sz w:val="20"/>
                <w:szCs w:val="20"/>
                <w:highlight w:val="green"/>
                <w:lang w:eastAsia="en-GB"/>
              </w:rPr>
              <w:t xml:space="preserve">FR2 only inter-band CA </w:t>
            </w:r>
          </w:p>
          <w:p w14:paraId="1FE46B86">
            <w:pPr>
              <w:pStyle w:val="10"/>
              <w:numPr>
                <w:ilvl w:val="3"/>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lang w:eastAsia="en-GB"/>
              </w:rPr>
              <w:t>NR-DC</w:t>
            </w:r>
          </w:p>
          <w:p w14:paraId="1A08D2B3">
            <w:pPr>
              <w:keepNext w:val="0"/>
              <w:keepLines w:val="0"/>
              <w:pageBreakBefore w:val="0"/>
              <w:widowControl w:val="0"/>
              <w:kinsoku/>
              <w:wordWrap/>
              <w:overflowPunct/>
              <w:topLinePunct w:val="0"/>
              <w:autoSpaceDE/>
              <w:autoSpaceDN/>
              <w:bidi w:val="0"/>
              <w:adjustRightInd/>
              <w:snapToGrid/>
              <w:spacing w:after="180" w:line="240" w:lineRule="auto"/>
              <w:ind w:firstLine="3000" w:firstLineChars="150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kern w:val="0"/>
                <w:sz w:val="20"/>
                <w:szCs w:val="20"/>
                <w:highlight w:val="green"/>
                <w:lang w:val="en-US" w:eastAsia="en-GB" w:bidi="ar-SA"/>
              </w:rPr>
              <w:t>FR1 + FR2 NR-DC (FR1 PCell and FR2 PScell)</w:t>
            </w:r>
          </w:p>
        </w:tc>
      </w:tr>
    </w:tbl>
    <w:p w14:paraId="6A2F211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1D80ED7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2: For CSSF optimization, it is proposed that SA, NR-DC, NE-DC, EN-DC are considered without deprioritization any of them.</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992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0252256">
            <w:pPr>
              <w:rPr>
                <w:rFonts w:hint="default" w:ascii="Times New Roman" w:hAnsi="Times New Roman" w:cs="Times New Roman"/>
                <w:b/>
                <w:color w:val="0070C0"/>
                <w:sz w:val="20"/>
                <w:szCs w:val="20"/>
                <w:highlight w:val="none"/>
                <w:u w:val="single"/>
                <w:lang w:eastAsia="ko-KR"/>
              </w:rPr>
            </w:pPr>
            <w:r>
              <w:rPr>
                <w:rFonts w:hint="default" w:ascii="Times New Roman" w:hAnsi="Times New Roman" w:cs="Times New Roman"/>
                <w:b/>
                <w:color w:val="0070C0"/>
                <w:sz w:val="20"/>
                <w:szCs w:val="20"/>
                <w:highlight w:val="none"/>
                <w:u w:val="single"/>
                <w:lang w:eastAsia="ko-KR"/>
              </w:rPr>
              <w:t>Issue 2-4-1: Tentative solution 1: measure one serving CC per band</w:t>
            </w:r>
          </w:p>
          <w:p w14:paraId="2BA2E029">
            <w:pPr>
              <w:rPr>
                <w:rFonts w:hint="default" w:ascii="Times New Roman" w:hAnsi="Times New Roman" w:cs="Times New Roman"/>
                <w:b/>
                <w:color w:val="0070C0"/>
                <w:sz w:val="20"/>
                <w:szCs w:val="20"/>
                <w:highlight w:val="none"/>
                <w:u w:val="single"/>
                <w:lang w:eastAsia="ko-KR"/>
              </w:rPr>
            </w:pPr>
          </w:p>
          <w:p w14:paraId="3AC2FA9F">
            <w:pPr>
              <w:rPr>
                <w:rFonts w:hint="default" w:ascii="Times New Roman" w:hAnsi="Times New Roman" w:cs="Times New Roman"/>
                <w:iCs/>
                <w:sz w:val="20"/>
                <w:szCs w:val="20"/>
                <w:highlight w:val="none"/>
              </w:rPr>
            </w:pPr>
            <w:r>
              <w:rPr>
                <w:rFonts w:hint="default" w:ascii="Times New Roman" w:hAnsi="Times New Roman" w:cs="Times New Roman"/>
                <w:iCs/>
                <w:sz w:val="20"/>
                <w:szCs w:val="20"/>
                <w:highlight w:val="none"/>
              </w:rPr>
              <w:t>[Wayforwad]:</w:t>
            </w:r>
          </w:p>
          <w:p w14:paraId="08B45593">
            <w:pPr>
              <w:rPr>
                <w:rFonts w:hint="default" w:ascii="Times New Roman" w:hAnsi="Times New Roman" w:cs="Times New Roman"/>
                <w:iCs/>
                <w:sz w:val="20"/>
                <w:szCs w:val="20"/>
                <w:highlight w:val="none"/>
              </w:rPr>
            </w:pPr>
            <w:r>
              <w:rPr>
                <w:rFonts w:hint="default" w:ascii="Times New Roman" w:hAnsi="Times New Roman" w:cs="Times New Roman"/>
                <w:iCs/>
                <w:sz w:val="20"/>
                <w:szCs w:val="20"/>
                <w:highlight w:val="none"/>
              </w:rPr>
              <w:t>FFS the following solution:</w:t>
            </w:r>
          </w:p>
          <w:p w14:paraId="0943B07D">
            <w:pPr>
              <w:pStyle w:val="10"/>
              <w:numPr>
                <w:ilvl w:val="1"/>
                <w:numId w:val="8"/>
              </w:numPr>
              <w:overflowPunct/>
              <w:autoSpaceDE/>
              <w:autoSpaceDN/>
              <w:adjustRightInd/>
              <w:spacing w:after="120"/>
              <w:ind w:left="1364"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bCs/>
                <w:sz w:val="20"/>
                <w:szCs w:val="20"/>
                <w:highlight w:val="none"/>
              </w:rPr>
              <w:t>If network indicates to enable this CSSF enhancement</w:t>
            </w:r>
            <w:r>
              <w:rPr>
                <w:rFonts w:hint="default" w:ascii="Times New Roman" w:hAnsi="Times New Roman" w:eastAsia="宋体" w:cs="Times New Roman"/>
                <w:bCs/>
                <w:sz w:val="20"/>
                <w:szCs w:val="20"/>
                <w:highlight w:val="none"/>
                <w:lang w:val="zh-CN"/>
              </w:rPr>
              <w:t xml:space="preserve">, </w:t>
            </w:r>
            <w:r>
              <w:rPr>
                <w:rFonts w:hint="default" w:ascii="Times New Roman" w:hAnsi="Times New Roman" w:eastAsia="宋体" w:cs="Times New Roman"/>
                <w:sz w:val="20"/>
                <w:szCs w:val="20"/>
                <w:highlight w:val="none"/>
              </w:rPr>
              <w:t xml:space="preserve">UE only needs to measure one serving CC per band if multiple serving CCs are in the same band and </w:t>
            </w:r>
            <w:r>
              <w:rPr>
                <w:rFonts w:hint="default" w:ascii="Times New Roman" w:hAnsi="Times New Roman" w:eastAsia="宋体" w:cs="Times New Roman"/>
                <w:bCs/>
                <w:sz w:val="20"/>
                <w:szCs w:val="20"/>
                <w:highlight w:val="none"/>
                <w:lang w:val="zh-CN"/>
              </w:rPr>
              <w:t xml:space="preserve">UE is allowed to determine the CC in the band to be measured, </w:t>
            </w:r>
          </w:p>
          <w:p w14:paraId="04D654D9">
            <w:pPr>
              <w:pStyle w:val="10"/>
              <w:numPr>
                <w:ilvl w:val="2"/>
                <w:numId w:val="8"/>
              </w:numPr>
              <w:overflowPunct/>
              <w:autoSpaceDE/>
              <w:autoSpaceDN/>
              <w:adjustRightInd/>
              <w:spacing w:after="120"/>
              <w:ind w:left="2084"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bCs/>
                <w:sz w:val="20"/>
                <w:szCs w:val="20"/>
                <w:highlight w:val="none"/>
              </w:rPr>
              <w:t>Reuse the legacy principle for neighbour cell measurement</w:t>
            </w:r>
          </w:p>
          <w:p w14:paraId="2D81CD78">
            <w:pPr>
              <w:numPr>
                <w:ilvl w:val="3"/>
                <w:numId w:val="8"/>
              </w:numPr>
              <w:suppressAutoHyphens/>
              <w:spacing w:before="120"/>
              <w:ind w:left="2804"/>
              <w:rPr>
                <w:rFonts w:hint="default" w:ascii="Times New Roman" w:hAnsi="Times New Roman" w:cs="Times New Roman"/>
                <w:bCs/>
                <w:iCs/>
                <w:sz w:val="20"/>
                <w:szCs w:val="20"/>
                <w:highlight w:val="none"/>
              </w:rPr>
            </w:pPr>
            <w:r>
              <w:rPr>
                <w:rFonts w:hint="default" w:ascii="Times New Roman" w:hAnsi="Times New Roman" w:cs="Times New Roman"/>
                <w:bCs/>
                <w:iCs/>
                <w:sz w:val="20"/>
                <w:szCs w:val="20"/>
                <w:highlight w:val="none"/>
              </w:rPr>
              <w:t>Measure PCC if PCC in band or</w:t>
            </w:r>
          </w:p>
          <w:p w14:paraId="67B436C1">
            <w:pPr>
              <w:numPr>
                <w:ilvl w:val="3"/>
                <w:numId w:val="8"/>
              </w:numPr>
              <w:suppressAutoHyphens/>
              <w:spacing w:before="120"/>
              <w:ind w:left="2804"/>
              <w:rPr>
                <w:rFonts w:hint="default" w:ascii="Times New Roman" w:hAnsi="Times New Roman" w:cs="Times New Roman"/>
                <w:bCs/>
                <w:iCs/>
                <w:sz w:val="20"/>
                <w:szCs w:val="20"/>
                <w:highlight w:val="none"/>
              </w:rPr>
            </w:pPr>
            <w:r>
              <w:rPr>
                <w:rFonts w:hint="default" w:ascii="Times New Roman" w:hAnsi="Times New Roman" w:cs="Times New Roman"/>
                <w:bCs/>
                <w:iCs/>
                <w:sz w:val="20"/>
                <w:szCs w:val="20"/>
                <w:highlight w:val="none"/>
              </w:rPr>
              <w:t>Measure PSCC if PSCC in band or</w:t>
            </w:r>
          </w:p>
          <w:p w14:paraId="07A572DE">
            <w:pPr>
              <w:numPr>
                <w:ilvl w:val="3"/>
                <w:numId w:val="8"/>
              </w:numPr>
              <w:suppressAutoHyphens/>
              <w:spacing w:before="120"/>
              <w:ind w:left="2804"/>
              <w:rPr>
                <w:rFonts w:hint="default" w:ascii="Times New Roman" w:hAnsi="Times New Roman" w:cs="Times New Roman"/>
                <w:bCs/>
                <w:iCs/>
                <w:sz w:val="20"/>
                <w:szCs w:val="20"/>
                <w:highlight w:val="none"/>
              </w:rPr>
            </w:pPr>
            <w:r>
              <w:rPr>
                <w:rFonts w:hint="default" w:ascii="Times New Roman" w:hAnsi="Times New Roman" w:cs="Times New Roman"/>
                <w:bCs/>
                <w:iCs/>
                <w:sz w:val="20"/>
                <w:szCs w:val="20"/>
                <w:highlight w:val="none"/>
              </w:rPr>
              <w:t>Measure SCC with neighbor cell MO or</w:t>
            </w:r>
          </w:p>
          <w:p w14:paraId="71345F93">
            <w:pPr>
              <w:numPr>
                <w:ilvl w:val="3"/>
                <w:numId w:val="8"/>
              </w:numPr>
              <w:suppressAutoHyphens/>
              <w:spacing w:before="120" w:after="180"/>
              <w:ind w:left="2804"/>
              <w:rPr>
                <w:rFonts w:hint="default" w:ascii="Times New Roman" w:hAnsi="Times New Roman" w:cs="Times New Roman"/>
                <w:bCs/>
                <w:iCs/>
                <w:sz w:val="20"/>
                <w:szCs w:val="20"/>
                <w:highlight w:val="none"/>
              </w:rPr>
            </w:pPr>
            <w:r>
              <w:rPr>
                <w:rFonts w:hint="default" w:ascii="Times New Roman" w:hAnsi="Times New Roman" w:cs="Times New Roman"/>
                <w:bCs/>
                <w:iCs/>
                <w:sz w:val="20"/>
                <w:szCs w:val="20"/>
                <w:highlight w:val="none"/>
              </w:rPr>
              <w:t>UE implementation</w:t>
            </w:r>
          </w:p>
          <w:p w14:paraId="01437BB3">
            <w:pPr>
              <w:numPr>
                <w:ilvl w:val="2"/>
                <w:numId w:val="8"/>
              </w:numPr>
              <w:suppressAutoHyphens/>
              <w:spacing w:before="120" w:after="180"/>
              <w:ind w:left="2084"/>
              <w:rPr>
                <w:rFonts w:hint="default" w:ascii="Times New Roman" w:hAnsi="Times New Roman" w:cs="Times New Roman"/>
                <w:bCs/>
                <w:iCs/>
                <w:sz w:val="20"/>
                <w:szCs w:val="20"/>
                <w:highlight w:val="none"/>
              </w:rPr>
            </w:pPr>
            <w:r>
              <w:rPr>
                <w:rFonts w:hint="default" w:ascii="Times New Roman" w:hAnsi="Times New Roman" w:cs="Times New Roman"/>
                <w:bCs/>
                <w:iCs/>
                <w:sz w:val="20"/>
                <w:szCs w:val="20"/>
                <w:highlight w:val="none"/>
              </w:rPr>
              <w:t>FFS whether indication is per-UE or per-band</w:t>
            </w:r>
          </w:p>
          <w:p w14:paraId="14ED27B8">
            <w:pPr>
              <w:numPr>
                <w:ilvl w:val="3"/>
                <w:numId w:val="8"/>
              </w:numPr>
              <w:suppressAutoHyphens/>
              <w:spacing w:before="120" w:after="180"/>
              <w:ind w:left="2804"/>
              <w:rPr>
                <w:rFonts w:hint="default" w:ascii="Times New Roman" w:hAnsi="Times New Roman" w:cs="Times New Roman"/>
                <w:bCs/>
                <w:iCs/>
                <w:sz w:val="20"/>
                <w:szCs w:val="20"/>
                <w:highlight w:val="none"/>
              </w:rPr>
            </w:pPr>
            <w:r>
              <w:rPr>
                <w:rFonts w:hint="default" w:ascii="Times New Roman" w:hAnsi="Times New Roman" w:cs="Times New Roman"/>
                <w:bCs/>
                <w:iCs/>
                <w:sz w:val="20"/>
                <w:szCs w:val="20"/>
                <w:highlight w:val="none"/>
              </w:rPr>
              <w:t>Other options are not precluded.</w:t>
            </w:r>
          </w:p>
          <w:p w14:paraId="5734ED15">
            <w:pPr>
              <w:pStyle w:val="10"/>
              <w:numPr>
                <w:ilvl w:val="1"/>
                <w:numId w:val="8"/>
              </w:numPr>
              <w:overflowPunct/>
              <w:autoSpaceDE/>
              <w:autoSpaceDN/>
              <w:adjustRightInd/>
              <w:spacing w:after="120"/>
              <w:ind w:left="1364"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bCs/>
                <w:sz w:val="20"/>
                <w:szCs w:val="20"/>
                <w:highlight w:val="none"/>
              </w:rPr>
              <w:t>otherwise</w:t>
            </w:r>
            <w:r>
              <w:rPr>
                <w:rFonts w:hint="default" w:ascii="Times New Roman" w:hAnsi="Times New Roman" w:eastAsia="宋体" w:cs="Times New Roman"/>
                <w:bCs/>
                <w:sz w:val="20"/>
                <w:szCs w:val="20"/>
                <w:highlight w:val="none"/>
                <w:lang w:val="zh-CN"/>
              </w:rPr>
              <w:t xml:space="preserve">, UE will follow the R15 spec to perform serving and neighbor cell measurements. </w:t>
            </w:r>
          </w:p>
        </w:tc>
      </w:tr>
    </w:tbl>
    <w:p w14:paraId="66D80A7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203AFA4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Our initial consideration is not to change UE behaviour on the measurement of serving cell, i.e. UE shall be capable of performing SS-RSRP, SS-RSRQ, and SS-SINR measurements for at least 2 SSBs on serving cell for each of the other intra-frequency layer(s) in the same band, which was introduced in Rel-15. However, as mentioned by companies that FR2 is noise-limited system rather than interference-limited system, and RSRQ would not be too much different among serving CCs in the same band. With this consideration, we can compromise to allow UE only measure one serving CC in the same FR2 band so that the CSSF can be optimized when multiple serving CCs are in the same band. But the condition is that this measurement is based on network indication. In detail, it is up to network indication whether allow UE to change legacy measurement behaviour and only measure measure one serving CC in the same FR2 band, and how to select the measured serving CC is up to network indication.</w:t>
      </w:r>
    </w:p>
    <w:p w14:paraId="6F56C32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for solution 1 (measure one serving CC per band), it is proposed that whether UE is allowed to only measure one serving CC per band if multiple serving CCs are in the same band is based on network indication.</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5CA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0601D34">
            <w:pPr>
              <w:rPr>
                <w:rFonts w:hint="default" w:ascii="Times New Roman" w:hAnsi="Times New Roman" w:eastAsia="宋体" w:cs="Times New Roman"/>
                <w:sz w:val="20"/>
                <w:szCs w:val="20"/>
              </w:rPr>
            </w:pPr>
            <w:r>
              <w:rPr>
                <w:rFonts w:hint="default" w:ascii="Times New Roman" w:hAnsi="Times New Roman" w:cs="Times New Roman"/>
                <w:b/>
                <w:color w:val="0070C0"/>
                <w:sz w:val="20"/>
                <w:szCs w:val="20"/>
                <w:u w:val="single"/>
                <w:lang w:eastAsia="ko-KR"/>
              </w:rPr>
              <w:t>Issue 2-4-3: Tentative solution 3: 3 searchers for CSSF</w:t>
            </w:r>
          </w:p>
          <w:p w14:paraId="0E71F40C">
            <w:pPr>
              <w:spacing w:after="18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44AC3A3D">
            <w:pPr>
              <w:pStyle w:val="10"/>
              <w:overflowPunct/>
              <w:autoSpaceDE/>
              <w:adjustRightInd/>
              <w:spacing w:after="180"/>
              <w:ind w:firstLine="0" w:firstLineChars="0"/>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RAN4 to study the scenario of using 3 searchers for CSSF reduction. The scenario is:</w:t>
            </w:r>
          </w:p>
          <w:p w14:paraId="1E4313BF">
            <w:pPr>
              <w:pStyle w:val="10"/>
              <w:numPr>
                <w:ilvl w:val="2"/>
                <w:numId w:val="8"/>
              </w:numPr>
              <w:overflowPunct/>
              <w:autoSpaceDE/>
              <w:adjustRightInd/>
              <w:spacing w:after="180"/>
              <w:ind w:left="720" w:firstLineChars="0"/>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FFS: FR1 scenario (CA and NR-DC) only.</w:t>
            </w:r>
          </w:p>
          <w:p w14:paraId="0E595B35">
            <w:pPr>
              <w:pStyle w:val="10"/>
              <w:numPr>
                <w:ilvl w:val="2"/>
                <w:numId w:val="8"/>
              </w:numPr>
              <w:overflowPunct/>
              <w:autoSpaceDE/>
              <w:adjustRightInd/>
              <w:spacing w:after="180"/>
              <w:ind w:left="720" w:firstLineChars="0"/>
              <w:textAlignment w:val="auto"/>
              <w:rPr>
                <w:rFonts w:hint="default" w:ascii="Times New Roman" w:hAnsi="Times New Roman" w:cs="Times New Roman"/>
                <w:sz w:val="20"/>
                <w:szCs w:val="20"/>
                <w:highlight w:val="green"/>
              </w:rPr>
            </w:pPr>
            <w:r>
              <w:rPr>
                <w:rFonts w:hint="default" w:ascii="Times New Roman" w:hAnsi="Times New Roman" w:cs="Times New Roman" w:eastAsiaTheme="minorEastAsia"/>
                <w:sz w:val="20"/>
                <w:szCs w:val="20"/>
                <w:highlight w:val="green"/>
              </w:rPr>
              <w:t>FFS: FR1 scenario (CA and NR-DC) and FR1 + FR2 scenario (CA and NR-DC) only.</w:t>
            </w:r>
          </w:p>
          <w:p w14:paraId="72F6798A">
            <w:pPr>
              <w:pStyle w:val="10"/>
              <w:numPr>
                <w:ilvl w:val="2"/>
                <w:numId w:val="8"/>
              </w:numPr>
              <w:overflowPunct/>
              <w:autoSpaceDE/>
              <w:adjustRightInd/>
              <w:spacing w:after="180"/>
              <w:ind w:left="7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eastAsiaTheme="minorEastAsia"/>
                <w:sz w:val="20"/>
                <w:szCs w:val="20"/>
                <w:highlight w:val="green"/>
              </w:rPr>
              <w:t>FFS: All scenarios.</w:t>
            </w:r>
          </w:p>
        </w:tc>
      </w:tr>
    </w:tbl>
    <w:p w14:paraId="57D9DBB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5CABA6D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We see the benifit to consider 3 searchers. The way to perform optimization is different for different assumption of searcher number. With two searchers, one of the possible optimizations is to update the occupancy ratio of PCC or PSCC. For three searchers, the searcher used for measurement within gap can be leveraged for measurement outside gap when there is no MO need gap. As for the applied scenarios, from out point of view, at least FR1 scenario (CA and NR-DC) need to be considered. For FR1 + FR2 scenario, we are also fine to consider it if not much worload is needed.  </w:t>
      </w:r>
    </w:p>
    <w:p w14:paraId="335A4B6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b/>
          <w:bCs/>
          <w:i/>
          <w:iCs/>
          <w:sz w:val="20"/>
          <w:szCs w:val="20"/>
          <w:lang w:val="en-US" w:eastAsia="zh-CN"/>
        </w:rPr>
        <w:t>Proposal 4: it is proposed to consider CSSF optimization based on 3 searchers at least for FR1 scenario (CA and NR-DC).</w:t>
      </w:r>
    </w:p>
    <w:p w14:paraId="56A64BA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bookmarkEnd w:id="6"/>
    <w:bookmarkEnd w:id="7"/>
    <w:p w14:paraId="23069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L3 measurement delay reduction by optimizing CSSF outside gap in CA/DC. The proposals are:</w:t>
      </w:r>
    </w:p>
    <w:p w14:paraId="562630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i/>
          <w:iCs/>
          <w:kern w:val="2"/>
          <w:sz w:val="20"/>
          <w:szCs w:val="20"/>
          <w:lang w:val="en-US" w:eastAsia="zh-CN"/>
        </w:rPr>
      </w:pPr>
      <w:r>
        <w:rPr>
          <w:rFonts w:hint="eastAsia" w:ascii="Times New Roman" w:hAnsi="Times New Roman" w:eastAsia="等线" w:cs="Times New Roman"/>
          <w:b/>
          <w:bCs/>
          <w:i/>
          <w:iCs/>
          <w:kern w:val="2"/>
          <w:sz w:val="20"/>
          <w:szCs w:val="20"/>
          <w:lang w:val="en-US" w:eastAsia="zh-CN"/>
        </w:rPr>
        <w:t>Proposal 1: it is proposed that enhanced CSSF apply to all the 3 aspects and do not define the priority.</w:t>
      </w:r>
    </w:p>
    <w:p w14:paraId="27C9C24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2: For CSSF optimization, it is proposed that SA, NR-DC, NE-DC, EN-DC are considered without deprioritization any of them.</w:t>
      </w:r>
    </w:p>
    <w:p w14:paraId="27F71D7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for solution 1 (measure one serving CC per band), it is proposed that whether UE is allowed to only measure one serving CC per band if multiple serving CCs are in the same band is based on network indication.</w:t>
      </w:r>
    </w:p>
    <w:p w14:paraId="6F36421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b/>
          <w:bCs/>
          <w:i/>
          <w:iCs/>
          <w:sz w:val="20"/>
          <w:szCs w:val="20"/>
          <w:lang w:val="en-US" w:eastAsia="zh-CN"/>
        </w:rPr>
        <w:t>Proposal 4: it is proposed to consider CSSF optimization based on 3 searchers at least for FR1 scenario (CA and NR-DC).</w:t>
      </w:r>
    </w:p>
    <w:p w14:paraId="7AA0D5E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7B0F4863">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R4-2420093</w:t>
      </w:r>
      <w:r>
        <w:rPr>
          <w:rFonts w:hint="eastAsia" w:ascii="Times" w:hAnsi="Times" w:eastAsia="宋体"/>
          <w:b w:val="0"/>
          <w:sz w:val="20"/>
          <w:lang w:val="en-US" w:eastAsia="zh-CN"/>
        </w:rPr>
        <w:t>, WF on RRM requirements for NR_RRM_Ph5_Part1, Apple</w:t>
      </w:r>
    </w:p>
    <w:p w14:paraId="23F0DB77">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7551112E">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42A328E">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22376D36">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RP-242380</w:t>
      </w:r>
      <w:r>
        <w:rPr>
          <w:rFonts w:hint="eastAsia" w:ascii="Times" w:hAnsi="Times" w:eastAsia="宋体"/>
          <w:b w:val="0"/>
          <w:sz w:val="20"/>
          <w:lang w:val="en-US" w:eastAsia="zh-CN"/>
        </w:rPr>
        <w:t>, Revised WID: NR Radio Resource Management (RRM) Phase 5</w:t>
      </w:r>
    </w:p>
    <w:p w14:paraId="7080E38C">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214A71F6">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425D6FFB">
      <w:pPr>
        <w:pStyle w:val="11"/>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5B61555D">
      <w:pPr>
        <w:pStyle w:val="11"/>
        <w:framePr w:wrap="auto" w:vAnchor="margin" w:hAnchor="text" w:yAlign="inline"/>
        <w:ind w:right="400"/>
        <w:jc w:val="both"/>
        <w:rPr>
          <w:rFonts w:ascii="Times" w:hAnsi="Times" w:eastAsia="宋体"/>
          <w:b w:val="0"/>
          <w:sz w:val="20"/>
          <w:lang w:eastAsia="zh-CN"/>
        </w:rPr>
      </w:pPr>
    </w:p>
    <w:p w14:paraId="0324880D">
      <w:pPr>
        <w:pStyle w:val="11"/>
        <w:framePr w:wrap="auto" w:vAnchor="margin" w:hAnchor="text" w:yAlign="inline"/>
        <w:ind w:right="400"/>
        <w:jc w:val="both"/>
        <w:rPr>
          <w:rFonts w:hint="eastAsia" w:ascii="Times" w:hAnsi="Times" w:eastAsia="宋体"/>
          <w:b w:val="0"/>
          <w:sz w:val="20"/>
          <w:lang w:val="en-US" w:eastAsia="zh-CN"/>
        </w:rPr>
      </w:pP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78C47"/>
    <w:multiLevelType w:val="multilevel"/>
    <w:tmpl w:val="A3478C47"/>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rPr>
    </w:lvl>
    <w:lvl w:ilvl="2" w:tentative="0">
      <w:start w:val="1"/>
      <w:numFmt w:val="bullet"/>
      <w:lvlText w:val=""/>
      <w:lvlJc w:val="left"/>
      <w:pPr>
        <w:tabs>
          <w:tab w:val="left" w:pos="1260"/>
        </w:tabs>
        <w:ind w:left="2100" w:hanging="420"/>
      </w:pPr>
      <w:rPr>
        <w:rFonts w:hint="default"/>
      </w:rPr>
    </w:lvl>
    <w:lvl w:ilvl="3" w:tentative="0">
      <w:start w:val="1"/>
      <w:numFmt w:val="bullet"/>
      <w:lvlText w:val=""/>
      <w:lvlJc w:val="left"/>
      <w:pPr>
        <w:tabs>
          <w:tab w:val="left" w:pos="1680"/>
        </w:tabs>
        <w:ind w:left="2520" w:hanging="420"/>
      </w:pPr>
      <w:rPr>
        <w:rFonts w:hint="default"/>
      </w:rPr>
    </w:lvl>
    <w:lvl w:ilvl="4" w:tentative="0">
      <w:start w:val="1"/>
      <w:numFmt w:val="bullet"/>
      <w:lvlText w:val=""/>
      <w:lvlJc w:val="left"/>
      <w:pPr>
        <w:tabs>
          <w:tab w:val="left" w:pos="2100"/>
        </w:tabs>
        <w:ind w:left="2940" w:hanging="420"/>
      </w:pPr>
      <w:rPr>
        <w:rFonts w:hint="default"/>
      </w:rPr>
    </w:lvl>
    <w:lvl w:ilvl="5" w:tentative="0">
      <w:start w:val="1"/>
      <w:numFmt w:val="bullet"/>
      <w:lvlText w:val=""/>
      <w:lvlJc w:val="left"/>
      <w:pPr>
        <w:tabs>
          <w:tab w:val="left" w:pos="2520"/>
        </w:tabs>
        <w:ind w:left="3360" w:hanging="420"/>
      </w:pPr>
      <w:rPr>
        <w:rFonts w:hint="default"/>
      </w:rPr>
    </w:lvl>
    <w:lvl w:ilvl="6" w:tentative="0">
      <w:start w:val="1"/>
      <w:numFmt w:val="bullet"/>
      <w:lvlText w:val=""/>
      <w:lvlJc w:val="left"/>
      <w:pPr>
        <w:tabs>
          <w:tab w:val="left" w:pos="2940"/>
        </w:tabs>
        <w:ind w:left="3780" w:hanging="420"/>
      </w:pPr>
      <w:rPr>
        <w:rFonts w:hint="default"/>
      </w:rPr>
    </w:lvl>
    <w:lvl w:ilvl="7" w:tentative="0">
      <w:start w:val="1"/>
      <w:numFmt w:val="bullet"/>
      <w:lvlText w:val=""/>
      <w:lvlJc w:val="left"/>
      <w:pPr>
        <w:tabs>
          <w:tab w:val="left" w:pos="3360"/>
        </w:tabs>
        <w:ind w:left="4200" w:hanging="420"/>
      </w:pPr>
      <w:rPr>
        <w:rFonts w:hint="default"/>
      </w:rPr>
    </w:lvl>
    <w:lvl w:ilvl="8" w:tentative="0">
      <w:start w:val="1"/>
      <w:numFmt w:val="bullet"/>
      <w:lvlText w:val=""/>
      <w:lvlJc w:val="left"/>
      <w:pPr>
        <w:tabs>
          <w:tab w:val="left" w:pos="3780"/>
        </w:tabs>
        <w:ind w:left="4620" w:hanging="420"/>
      </w:pPr>
      <w:rPr>
        <w:rFonts w:hint="default"/>
      </w:rPr>
    </w:lvl>
  </w:abstractNum>
  <w:abstractNum w:abstractNumId="1">
    <w:nsid w:val="A8E93B25"/>
    <w:multiLevelType w:val="singleLevel"/>
    <w:tmpl w:val="A8E93B25"/>
    <w:lvl w:ilvl="0" w:tentative="0">
      <w:start w:val="1"/>
      <w:numFmt w:val="bullet"/>
      <w:lvlText w:val=""/>
      <w:lvlJc w:val="left"/>
      <w:pPr>
        <w:ind w:left="420" w:hanging="420"/>
      </w:pPr>
      <w:rPr>
        <w:rFonts w:hint="default" w:ascii="Wingdings" w:hAnsi="Wingdings"/>
      </w:rPr>
    </w:lvl>
  </w:abstractNum>
  <w:abstractNum w:abstractNumId="2">
    <w:nsid w:val="DFEA373E"/>
    <w:multiLevelType w:val="multilevel"/>
    <w:tmpl w:val="DFEA37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6">
    <w:nsid w:val="40D21E41"/>
    <w:multiLevelType w:val="multilevel"/>
    <w:tmpl w:val="40D21E4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rPr>
    </w:lvl>
    <w:lvl w:ilvl="2" w:tentative="0">
      <w:start w:val="1"/>
      <w:numFmt w:val="bullet"/>
      <w:lvlText w:val=""/>
      <w:lvlJc w:val="left"/>
      <w:pPr>
        <w:tabs>
          <w:tab w:val="left" w:pos="1260"/>
        </w:tabs>
        <w:ind w:left="1680" w:hanging="420"/>
      </w:pPr>
      <w:rPr>
        <w:rFonts w:hint="default"/>
      </w:rPr>
    </w:lvl>
    <w:lvl w:ilvl="3" w:tentative="0">
      <w:start w:val="1"/>
      <w:numFmt w:val="bullet"/>
      <w:lvlText w:val=""/>
      <w:lvlJc w:val="left"/>
      <w:pPr>
        <w:tabs>
          <w:tab w:val="left" w:pos="1680"/>
        </w:tabs>
        <w:ind w:left="2100" w:hanging="420"/>
      </w:pPr>
      <w:rPr>
        <w:rFonts w:hint="default"/>
      </w:rPr>
    </w:lvl>
    <w:lvl w:ilvl="4" w:tentative="0">
      <w:start w:val="1"/>
      <w:numFmt w:val="bullet"/>
      <w:lvlText w:val=""/>
      <w:lvlJc w:val="left"/>
      <w:pPr>
        <w:tabs>
          <w:tab w:val="left" w:pos="2100"/>
        </w:tabs>
        <w:ind w:left="2520" w:hanging="420"/>
      </w:pPr>
      <w:rPr>
        <w:rFonts w:hint="default"/>
      </w:rPr>
    </w:lvl>
    <w:lvl w:ilvl="5" w:tentative="0">
      <w:start w:val="1"/>
      <w:numFmt w:val="bullet"/>
      <w:lvlText w:val=""/>
      <w:lvlJc w:val="left"/>
      <w:pPr>
        <w:tabs>
          <w:tab w:val="left" w:pos="2520"/>
        </w:tabs>
        <w:ind w:left="2940" w:hanging="420"/>
      </w:pPr>
      <w:rPr>
        <w:rFonts w:hint="default"/>
      </w:rPr>
    </w:lvl>
    <w:lvl w:ilvl="6" w:tentative="0">
      <w:start w:val="1"/>
      <w:numFmt w:val="bullet"/>
      <w:lvlText w:val=""/>
      <w:lvlJc w:val="left"/>
      <w:pPr>
        <w:tabs>
          <w:tab w:val="left" w:pos="2940"/>
        </w:tabs>
        <w:ind w:left="3360" w:hanging="420"/>
      </w:pPr>
      <w:rPr>
        <w:rFonts w:hint="default"/>
      </w:rPr>
    </w:lvl>
    <w:lvl w:ilvl="7" w:tentative="0">
      <w:start w:val="1"/>
      <w:numFmt w:val="bullet"/>
      <w:lvlText w:val=""/>
      <w:lvlJc w:val="left"/>
      <w:pPr>
        <w:tabs>
          <w:tab w:val="left" w:pos="3360"/>
        </w:tabs>
        <w:ind w:left="3780" w:hanging="420"/>
      </w:pPr>
      <w:rPr>
        <w:rFonts w:hint="default"/>
      </w:rPr>
    </w:lvl>
    <w:lvl w:ilvl="8" w:tentative="0">
      <w:start w:val="1"/>
      <w:numFmt w:val="bullet"/>
      <w:lvlText w:val=""/>
      <w:lvlJc w:val="left"/>
      <w:pPr>
        <w:tabs>
          <w:tab w:val="left" w:pos="3780"/>
        </w:tabs>
        <w:ind w:left="4200" w:hanging="420"/>
      </w:pPr>
      <w:rPr>
        <w:rFonts w:hint="default"/>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4"/>
  </w:num>
  <w:num w:numId="3">
    <w:abstractNumId w:val="5"/>
  </w:num>
  <w:num w:numId="4">
    <w:abstractNumId w:val="6"/>
  </w:num>
  <w:num w:numId="5">
    <w:abstractNumId w:val="0"/>
  </w:num>
  <w:num w:numId="6">
    <w:abstractNumId w:val="2"/>
  </w:num>
  <w:num w:numId="7">
    <w:abstractNumId w:val="1"/>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B37C7"/>
    <w:rsid w:val="066675EE"/>
    <w:rsid w:val="095F3199"/>
    <w:rsid w:val="0A424F95"/>
    <w:rsid w:val="0C18633A"/>
    <w:rsid w:val="102962AF"/>
    <w:rsid w:val="154B4C98"/>
    <w:rsid w:val="1A9346AF"/>
    <w:rsid w:val="1E262080"/>
    <w:rsid w:val="1EA13FCF"/>
    <w:rsid w:val="210324B5"/>
    <w:rsid w:val="22F84732"/>
    <w:rsid w:val="238A445D"/>
    <w:rsid w:val="25E20F82"/>
    <w:rsid w:val="26960BDD"/>
    <w:rsid w:val="295A479C"/>
    <w:rsid w:val="2BB92149"/>
    <w:rsid w:val="2E7C01C6"/>
    <w:rsid w:val="342A6B27"/>
    <w:rsid w:val="36292328"/>
    <w:rsid w:val="39A706A6"/>
    <w:rsid w:val="3B511B0B"/>
    <w:rsid w:val="48823F01"/>
    <w:rsid w:val="534263BF"/>
    <w:rsid w:val="59B212B6"/>
    <w:rsid w:val="6782683B"/>
    <w:rsid w:val="67A4673A"/>
    <w:rsid w:val="6A306848"/>
    <w:rsid w:val="6BBF44D0"/>
    <w:rsid w:val="6D673814"/>
    <w:rsid w:val="73C17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99"/>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2025-02-07T08:40:37Z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